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30176" w14:textId="77777777" w:rsidR="00CC1153" w:rsidRDefault="00861693">
      <w:bookmarkStart w:id="0" w:name="_GoBack"/>
      <w:bookmarkEnd w:id="0"/>
      <w:r>
        <w:rPr>
          <w:noProof/>
        </w:rPr>
        <w:drawing>
          <wp:anchor distT="114300" distB="114300" distL="114300" distR="114300" simplePos="0" relativeHeight="251658240" behindDoc="0" locked="0" layoutInCell="1" hidden="0" allowOverlap="1" wp14:anchorId="10F5BBDD" wp14:editId="3E34C63B">
            <wp:simplePos x="0" y="0"/>
            <wp:positionH relativeFrom="column">
              <wp:posOffset>4438650</wp:posOffset>
            </wp:positionH>
            <wp:positionV relativeFrom="paragraph">
              <wp:posOffset>114300</wp:posOffset>
            </wp:positionV>
            <wp:extent cx="1643063" cy="42566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3063" cy="425664"/>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9A5A113" wp14:editId="32210F00">
            <wp:simplePos x="0" y="0"/>
            <wp:positionH relativeFrom="column">
              <wp:posOffset>114300</wp:posOffset>
            </wp:positionH>
            <wp:positionV relativeFrom="paragraph">
              <wp:posOffset>114300</wp:posOffset>
            </wp:positionV>
            <wp:extent cx="1323975" cy="474732"/>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23975" cy="474732"/>
                    </a:xfrm>
                    <a:prstGeom prst="rect">
                      <a:avLst/>
                    </a:prstGeom>
                    <a:ln/>
                  </pic:spPr>
                </pic:pic>
              </a:graphicData>
            </a:graphic>
          </wp:anchor>
        </w:drawing>
      </w:r>
    </w:p>
    <w:p w14:paraId="3BCBC902" w14:textId="77777777" w:rsidR="00CC1153" w:rsidRDefault="00CC1153"/>
    <w:p w14:paraId="13EB33F6" w14:textId="77777777" w:rsidR="00CC1153" w:rsidRDefault="00CC1153"/>
    <w:p w14:paraId="41351CDD" w14:textId="77777777" w:rsidR="00CC1153" w:rsidRDefault="00CC1153"/>
    <w:p w14:paraId="2DA1227A" w14:textId="77777777" w:rsidR="00CC1153" w:rsidRDefault="00CC1153"/>
    <w:p w14:paraId="19B47425" w14:textId="77777777" w:rsidR="00CC1153" w:rsidRDefault="00CC1153"/>
    <w:p w14:paraId="3AD87068" w14:textId="77777777" w:rsidR="00CC1153" w:rsidRDefault="00861693">
      <w:pPr>
        <w:jc w:val="center"/>
        <w:rPr>
          <w:b/>
        </w:rPr>
      </w:pPr>
      <w:r>
        <w:rPr>
          <w:b/>
        </w:rPr>
        <w:t>Webinaire du CEoG Covid-19 avec le Centre africain pour la transformation économique (ACET)</w:t>
      </w:r>
    </w:p>
    <w:p w14:paraId="1C5D0BC4" w14:textId="77777777" w:rsidR="00CC1153" w:rsidRDefault="00861693">
      <w:pPr>
        <w:jc w:val="center"/>
        <w:rPr>
          <w:b/>
        </w:rPr>
      </w:pPr>
      <w:r>
        <w:rPr>
          <w:b/>
        </w:rPr>
        <w:t>28 juillet 2020</w:t>
      </w:r>
    </w:p>
    <w:p w14:paraId="38992AB5" w14:textId="77777777" w:rsidR="00CC1153" w:rsidRDefault="00CC1153">
      <w:pPr>
        <w:jc w:val="center"/>
        <w:rPr>
          <w:b/>
        </w:rPr>
      </w:pPr>
    </w:p>
    <w:p w14:paraId="670826B0" w14:textId="77777777" w:rsidR="00CC1153" w:rsidRDefault="00861693">
      <w:pPr>
        <w:numPr>
          <w:ilvl w:val="0"/>
          <w:numId w:val="2"/>
        </w:numPr>
      </w:pPr>
      <w:r>
        <w:rPr>
          <w:u w:val="single"/>
        </w:rPr>
        <w:t>Participants</w:t>
      </w:r>
    </w:p>
    <w:p w14:paraId="3EC10BF9" w14:textId="77777777" w:rsidR="00CC1153" w:rsidRDefault="00861693">
      <w:r>
        <w:t>KY Amoako, Rob Floyd, Mavis Owusu-Gymfi de l'ACET</w:t>
      </w:r>
    </w:p>
    <w:p w14:paraId="0EF527BA" w14:textId="77777777" w:rsidR="00CC1153" w:rsidRDefault="00861693">
      <w:r>
        <w:t>9 conseillers actuels</w:t>
      </w:r>
    </w:p>
    <w:p w14:paraId="6E01BCFF" w14:textId="77777777" w:rsidR="00CC1153" w:rsidRDefault="00861693">
      <w:r>
        <w:t>1 experts du réseau</w:t>
      </w:r>
    </w:p>
    <w:p w14:paraId="53BC65D7" w14:textId="77777777" w:rsidR="00CC1153" w:rsidRDefault="00861693">
      <w:pPr>
        <w:rPr>
          <w:u w:val="single"/>
        </w:rPr>
      </w:pPr>
      <w:r>
        <w:t>Secrétariat du CEoG</w:t>
      </w:r>
    </w:p>
    <w:p w14:paraId="7D9BD5D3" w14:textId="77777777" w:rsidR="00CC1153" w:rsidRDefault="00CC1153">
      <w:pPr>
        <w:rPr>
          <w:u w:val="single"/>
        </w:rPr>
      </w:pPr>
    </w:p>
    <w:p w14:paraId="5E66EEFF" w14:textId="77777777" w:rsidR="00CC1153" w:rsidRDefault="00861693">
      <w:pPr>
        <w:numPr>
          <w:ilvl w:val="0"/>
          <w:numId w:val="2"/>
        </w:numPr>
      </w:pPr>
      <w:r>
        <w:rPr>
          <w:u w:val="single"/>
        </w:rPr>
        <w:t>Discussion</w:t>
      </w:r>
    </w:p>
    <w:p w14:paraId="2DEB837B" w14:textId="77777777" w:rsidR="00CC1153" w:rsidRDefault="00CC1153">
      <w:pPr>
        <w:rPr>
          <w:u w:val="single"/>
        </w:rPr>
      </w:pPr>
    </w:p>
    <w:p w14:paraId="3F1FCD2A" w14:textId="77777777" w:rsidR="00CC1153" w:rsidRDefault="00861693">
      <w:pPr>
        <w:rPr>
          <w:b/>
        </w:rPr>
      </w:pPr>
      <w:r>
        <w:rPr>
          <w:b/>
        </w:rPr>
        <w:t>Introduction par Albert et Mavis Owusu-Gyamfi La</w:t>
      </w:r>
    </w:p>
    <w:p w14:paraId="420EA909" w14:textId="77777777" w:rsidR="00CC1153" w:rsidRDefault="00CC1153"/>
    <w:p w14:paraId="4777A3DF" w14:textId="77777777" w:rsidR="00CC1153" w:rsidRDefault="00861693">
      <w:r>
        <w:t>la BM a fait une projection et d'autres institutions internationales ont maintenant révisé leurs classifications. Alors que la crise sanitaire continue, nous devons construi</w:t>
      </w:r>
      <w:r>
        <w:t>re des éléments de la stratégie pour aller de l'avant. La Banque mondiale a conseillé les pays autour de 3 piliers</w:t>
      </w:r>
    </w:p>
    <w:p w14:paraId="53D6878A" w14:textId="77777777" w:rsidR="00CC1153" w:rsidRDefault="00CC1153"/>
    <w:p w14:paraId="681A97B1" w14:textId="77777777" w:rsidR="00CC1153" w:rsidRDefault="00861693">
      <w:pPr>
        <w:numPr>
          <w:ilvl w:val="0"/>
          <w:numId w:val="1"/>
        </w:numPr>
      </w:pPr>
      <w:r>
        <w:t>Sauver des vies</w:t>
      </w:r>
    </w:p>
    <w:p w14:paraId="5F3A43FB" w14:textId="77777777" w:rsidR="00CC1153" w:rsidRDefault="00861693">
      <w:pPr>
        <w:numPr>
          <w:ilvl w:val="0"/>
          <w:numId w:val="1"/>
        </w:numPr>
      </w:pPr>
      <w:r>
        <w:t>Préserver les moyens de subsistance</w:t>
      </w:r>
    </w:p>
    <w:p w14:paraId="594ED67D" w14:textId="77777777" w:rsidR="00CC1153" w:rsidRDefault="00861693">
      <w:pPr>
        <w:numPr>
          <w:ilvl w:val="0"/>
          <w:numId w:val="1"/>
        </w:numPr>
      </w:pPr>
      <w:r>
        <w:t xml:space="preserve">Protéger l'avenir </w:t>
      </w:r>
    </w:p>
    <w:p w14:paraId="40875F3D" w14:textId="77777777" w:rsidR="00CC1153" w:rsidRDefault="00CC1153"/>
    <w:p w14:paraId="245D7B3B" w14:textId="77777777" w:rsidR="00CC1153" w:rsidRDefault="00861693">
      <w:r>
        <w:t>Une chose qui ressort fortement est que le numérique n'est pas un lu</w:t>
      </w:r>
      <w:r>
        <w:t xml:space="preserve">xe pour l'Afrique. La transformation numérique sera un élément clé de la reprise. </w:t>
      </w:r>
    </w:p>
    <w:p w14:paraId="314D58A2" w14:textId="77777777" w:rsidR="00CC1153" w:rsidRDefault="00CC1153"/>
    <w:p w14:paraId="7F4DFC4A" w14:textId="77777777" w:rsidR="00CC1153" w:rsidRDefault="00861693">
      <w:r>
        <w:t>Mettre l'accent sur les emplois. Préservation des emplois et création d'emplois. Nous aurons besoin d'un changement structurel et d'une transformation des économies partant de  l'exportation de matières premières vers des économies qui peuvent ajouter de l</w:t>
      </w:r>
      <w:r>
        <w:t xml:space="preserve">a valeur aux matières premières avant de les exporter. </w:t>
      </w:r>
    </w:p>
    <w:p w14:paraId="6DD4A0FC" w14:textId="77777777" w:rsidR="00CC1153" w:rsidRDefault="00CC1153"/>
    <w:p w14:paraId="1130D85D" w14:textId="77777777" w:rsidR="00CC1153" w:rsidRDefault="00861693">
      <w:r>
        <w:t>Cela inclut une transformation spatiale pour combler le fossé urbain-rural, pour rendre les villes vivables, pour garantir que les villes secondaires créent également des emplois et pour souligner l'</w:t>
      </w:r>
      <w:r>
        <w:t>importance de la chaîne de valeur alimentaire. Le commerce sera essentiel.</w:t>
      </w:r>
    </w:p>
    <w:p w14:paraId="19E92228" w14:textId="77777777" w:rsidR="00CC1153" w:rsidRDefault="00CC1153"/>
    <w:p w14:paraId="1FD01F1E" w14:textId="77777777" w:rsidR="00CC1153" w:rsidRDefault="00861693">
      <w:r>
        <w:t>L'équipe d'Albert a récemment lancé une étude sur l'impact sur le bien-être de la ZLECAf - si nous pouvons la mettre en œuvre maintenant, elle pourrait sortir des millions de perso</w:t>
      </w:r>
      <w:r>
        <w:t>nnes de la pauvreté.</w:t>
      </w:r>
    </w:p>
    <w:p w14:paraId="0E46796C" w14:textId="77777777" w:rsidR="00CC1153" w:rsidRDefault="00CC1153"/>
    <w:p w14:paraId="40ACEE90" w14:textId="77777777" w:rsidR="00CC1153" w:rsidRDefault="00861693">
      <w:pPr>
        <w:rPr>
          <w:u w:val="single"/>
        </w:rPr>
      </w:pPr>
      <w:r>
        <w:rPr>
          <w:u w:val="single"/>
        </w:rPr>
        <w:lastRenderedPageBreak/>
        <w:t>Lien vers l'étude</w:t>
      </w:r>
    </w:p>
    <w:p w14:paraId="4548EB58" w14:textId="77777777" w:rsidR="00CC1153" w:rsidRDefault="00861693">
      <w:hyperlink r:id="rId12">
        <w:r>
          <w:rPr>
            <w:color w:val="1155CC"/>
            <w:u w:val="single"/>
          </w:rPr>
          <w:t>https://www.worldbank.org/en/news/press-release/2020/07/27/african-continental-free-trade-area</w:t>
        </w:r>
      </w:hyperlink>
    </w:p>
    <w:p w14:paraId="1979716D" w14:textId="77777777" w:rsidR="00CC1153" w:rsidRDefault="00CC1153"/>
    <w:p w14:paraId="63012FFF" w14:textId="77777777" w:rsidR="00CC1153" w:rsidRDefault="00861693">
      <w:r>
        <w:t>Le Cen</w:t>
      </w:r>
      <w:r>
        <w:t>tre La Transformation Économique (ACET) a une vision de la transformation économique en Afrique pendant une génération. L'ACET s'efforce de garantir que les pays sont de plus en plus productifs et capables de tirer parti des évolutions de la technologie mo</w:t>
      </w:r>
      <w:r>
        <w:t>ndiale. La reprise n'a pas besoin de commencer à la fin de la crise. L'ACET a formulé une série de recommandations sur la mobilisation des ressources, la gouvernance et l'efficacité, l'environnement des affaires et des investissements, ainsi que l'innovati</w:t>
      </w:r>
      <w:r>
        <w:t>on et l'entrepreneuriat numériques. Un exemple de réussite simple est l'investissement dans les technologies numériques pour améliorer la collecte des impôts.</w:t>
      </w:r>
    </w:p>
    <w:p w14:paraId="3F9B3BD4" w14:textId="77777777" w:rsidR="00CC1153" w:rsidRDefault="00CC1153"/>
    <w:p w14:paraId="415306F6" w14:textId="77777777" w:rsidR="00CC1153" w:rsidRDefault="00861693">
      <w:pPr>
        <w:rPr>
          <w:u w:val="single"/>
        </w:rPr>
      </w:pPr>
      <w:r>
        <w:rPr>
          <w:u w:val="single"/>
        </w:rPr>
        <w:t>Lien vers les priorités politiques de l'ACET</w:t>
      </w:r>
    </w:p>
    <w:p w14:paraId="293EE821" w14:textId="77777777" w:rsidR="00CC1153" w:rsidRDefault="00861693">
      <w:r>
        <w:t>https://acetforafrica.org/publications/policy-brief</w:t>
      </w:r>
      <w:r>
        <w:t>s-and-discussion-papers/covid-19-ten-policy-priorities-for-africas-recovery-growth-and-transformation</w:t>
      </w:r>
    </w:p>
    <w:p w14:paraId="6D5C0EE1" w14:textId="77777777" w:rsidR="00CC1153" w:rsidRDefault="00CC1153"/>
    <w:p w14:paraId="7FB3C638" w14:textId="77777777" w:rsidR="00CC1153" w:rsidRDefault="00861693">
      <w:r>
        <w:t>L'approche de l'ACET pour la relance économique: les pays qui voient des opportunités dans les plans prioritaires peuvent approcher l'ACET. L'ACET utilis</w:t>
      </w:r>
      <w:r>
        <w:t>era son pouvoir de rassemblement pour mobiliser le soutien de différents pays afin qu'ils travaillent sur ces points de réforme. Ce sera un programme d’appui dirigé par les pays.</w:t>
      </w:r>
    </w:p>
    <w:p w14:paraId="2EC8558B" w14:textId="77777777" w:rsidR="00CC1153" w:rsidRDefault="00CC1153"/>
    <w:p w14:paraId="5686916F" w14:textId="77777777" w:rsidR="00CC1153" w:rsidRDefault="00861693">
      <w:pPr>
        <w:rPr>
          <w:b/>
        </w:rPr>
      </w:pPr>
      <w:r>
        <w:rPr>
          <w:b/>
        </w:rPr>
        <w:t>Questions et réponses</w:t>
      </w:r>
    </w:p>
    <w:p w14:paraId="0386244C" w14:textId="77777777" w:rsidR="00CC1153" w:rsidRDefault="00CC1153"/>
    <w:p w14:paraId="4C2B2A56" w14:textId="77777777" w:rsidR="00CC1153" w:rsidRDefault="00861693">
      <w:r>
        <w:t>Q1. Le fait que la plupart des pays connaissent une c</w:t>
      </w:r>
      <w:r>
        <w:t>rise budgétaire est une préoccupation majeure. Quelle est la première chose à faire pour parvenir à la stabilité alors qu'ils sont en même temps submergés par les demandes, en particulier dans le secteur de la santé.</w:t>
      </w:r>
    </w:p>
    <w:p w14:paraId="2F03FDF5" w14:textId="77777777" w:rsidR="00CC1153" w:rsidRDefault="00CC1153"/>
    <w:p w14:paraId="47327C3E" w14:textId="77777777" w:rsidR="00CC1153" w:rsidRDefault="00861693">
      <w:r>
        <w:t>Q2. Nous avons commencé avec des proje</w:t>
      </w:r>
      <w:r>
        <w:t xml:space="preserve">ctions qui ont dû être revues à la baisse. Nous tirons sur une cible en mouvement, et la question est de savoir comment continuer à cibler les problèmes lorsque les scénarios évoluent. Par exemple, la première recommandation de l'ACET est de supprimer les </w:t>
      </w:r>
      <w:r>
        <w:t xml:space="preserve">fuites fiscales. Il ne s’agit pas de combler les fuites, aussi importantes qu’elles soient, mais de voir que les sources de revenus se sont taries en raison de la réduction de l’activité économique. Comment identifier de nouvelles sources de croissance? </w:t>
      </w:r>
    </w:p>
    <w:p w14:paraId="76D52100" w14:textId="77777777" w:rsidR="00CC1153" w:rsidRDefault="00CC1153"/>
    <w:p w14:paraId="695FEBF7" w14:textId="77777777" w:rsidR="00CC1153" w:rsidRDefault="00861693">
      <w:r>
        <w:t xml:space="preserve">Q3. En ce qui concerne le lien entre l'innovation numérique et l'efficacité du gouvernement, le COVID-19 a montré que le gouvernement peut continuer à travailler de manière assez efficace avec seulement un tiers de la main-d'œuvre. Dans quelle mesure cela </w:t>
      </w:r>
      <w:r>
        <w:t>peut-il être un facteur d'efficacité.</w:t>
      </w:r>
    </w:p>
    <w:p w14:paraId="1FEC6362" w14:textId="77777777" w:rsidR="00CC1153" w:rsidRDefault="00CC1153"/>
    <w:p w14:paraId="4AAD7BB8" w14:textId="77777777" w:rsidR="00CC1153" w:rsidRDefault="00861693">
      <w:r>
        <w:t>Q4. De nombreux pays ont déjà les recommandations proposées sur la table. La question est de savoir dans quelle mesure pouvons-nous les mettre en œuvre. Partout dans le monde, d'autres pays augmentent la masse monétai</w:t>
      </w:r>
      <w:r>
        <w:t xml:space="preserve">re de leurs économies. Pourquoi ce levier n'est-il pas disponible pour l'Afrique? Pour de nombreux pays, la reprise après la crise financière de </w:t>
      </w:r>
      <w:r>
        <w:lastRenderedPageBreak/>
        <w:t xml:space="preserve">2008 s'est traduite par une augmentation de l'offre monétaire. Nous devons faire quelque chose de nouveau pour </w:t>
      </w:r>
      <w:r>
        <w:t>la reprise.</w:t>
      </w:r>
    </w:p>
    <w:p w14:paraId="7C7028DE" w14:textId="77777777" w:rsidR="00CC1153" w:rsidRDefault="00CC1153"/>
    <w:p w14:paraId="75DCC37B" w14:textId="77777777" w:rsidR="00CC1153" w:rsidRDefault="00861693">
      <w:r>
        <w:t>Q5. Les agences de notation de crédit devraient jouer un rôle de facilitation plutôt qu'un rôle d'obstruction. Comment les amener à penser différemment aux fonds collectés en cas d'urgence. Existe-t-il un moyen de penser aux notations/classeme</w:t>
      </w:r>
      <w:r>
        <w:t>nts dans un moment de transition?</w:t>
      </w:r>
    </w:p>
    <w:p w14:paraId="3144492F" w14:textId="77777777" w:rsidR="00CC1153" w:rsidRDefault="00CC1153"/>
    <w:p w14:paraId="23B86186" w14:textId="77777777" w:rsidR="00CC1153" w:rsidRDefault="00CC1153"/>
    <w:p w14:paraId="73821629" w14:textId="77777777" w:rsidR="00CC1153" w:rsidRDefault="00861693">
      <w:pPr>
        <w:rPr>
          <w:b/>
        </w:rPr>
      </w:pPr>
      <w:r>
        <w:rPr>
          <w:b/>
        </w:rPr>
        <w:t>Discussion en réponse aux questions</w:t>
      </w:r>
    </w:p>
    <w:p w14:paraId="609923D8" w14:textId="77777777" w:rsidR="00CC1153" w:rsidRDefault="00CC1153"/>
    <w:p w14:paraId="6E010688" w14:textId="77777777" w:rsidR="00CC1153" w:rsidRDefault="00CC1153"/>
    <w:p w14:paraId="38649348" w14:textId="77777777" w:rsidR="00CC1153" w:rsidRDefault="00861693">
      <w:r>
        <w:t xml:space="preserve">Nous devons trouver le juste équilibre entre l'assainissement et la recherche d'un espace budgétaire. La première chose à considérer est la dette. Quelles sont les opportunités de renégocier la dette? Si un pays est un pays IDA, avec une faible exposition </w:t>
      </w:r>
      <w:r>
        <w:t>internationale, c'est une bonne occasion de profiter de l'accord du G20, c'est une chance d'épargner les paiements d'intérêts pour lutter contre la crise sanitaire.</w:t>
      </w:r>
    </w:p>
    <w:p w14:paraId="0572FF03" w14:textId="77777777" w:rsidR="00CC1153" w:rsidRDefault="00CC1153"/>
    <w:p w14:paraId="27ADBF01" w14:textId="77777777" w:rsidR="00CC1153" w:rsidRDefault="00861693">
      <w:r>
        <w:t>Une deuxième étape consiste déjà à lancer la réforme pour une meilleure gestion de la dett</w:t>
      </w:r>
      <w:r>
        <w:t>e et la transparence. Cela crée de l'espace. Pensez à l'efficacité des dépenses comme moyen d'économiser davantage. Le numérique pourrait être un moyen d'y parvenir. Une autre façon de faire est de combler les lacunes du système. Ceux-ci proviennent de dép</w:t>
      </w:r>
      <w:r>
        <w:t>enses fiscales, de flux illicites ou de pures fuites. Des institutions comme la Banque mondiale tentent de mettre des ressources sur la table pour aider les pays avec efficacité des dépenses.</w:t>
      </w:r>
    </w:p>
    <w:p w14:paraId="4F854395" w14:textId="77777777" w:rsidR="00CC1153" w:rsidRDefault="00CC1153"/>
    <w:p w14:paraId="467E8A23" w14:textId="77777777" w:rsidR="00CC1153" w:rsidRDefault="00861693">
      <w:pPr>
        <w:rPr>
          <w:b/>
        </w:rPr>
      </w:pPr>
      <w:r>
        <w:t>La communauté internationale peut faire beaucoup plus pour expl</w:t>
      </w:r>
      <w:r>
        <w:t>orer le rôle des prêteurs privés. La Banque mondiale et le FMI ont fait beaucoup, mais de nombreux autres membres de la communauté internationale peuvent insister davantage, par exemple sur le rôle de l'allégement de la dette des prêteurs privés. Les agenc</w:t>
      </w:r>
      <w:r>
        <w:t>es de notation de crédit sont également confrontées à une courbe d'apprentissage abrupte pour se renseigner sur les pays africains, en particulier en période de crise. La communauté internationale pourrait plaider pour plus - l'ACET le fait à travers des é</w:t>
      </w:r>
      <w:r>
        <w:t xml:space="preserve">ditions d'opinion, des panels internationaux, etc. Obtenir les agences de notation de crédit à bord nécessitera plus de volonté politique. C'est un domaine dans lequel </w:t>
      </w:r>
      <w:r>
        <w:rPr>
          <w:b/>
        </w:rPr>
        <w:t>le panneau de transformation peut vous aider.</w:t>
      </w:r>
    </w:p>
    <w:p w14:paraId="7F8646D7" w14:textId="77777777" w:rsidR="00CC1153" w:rsidRDefault="00CC1153"/>
    <w:p w14:paraId="5D58960C" w14:textId="77777777" w:rsidR="00CC1153" w:rsidRDefault="00861693">
      <w:r>
        <w:t>Les mécanismes de transmission de la poli</w:t>
      </w:r>
      <w:r>
        <w:t>tique monétaire fonctionnent différemment selon le degré de sophistication d'une économie. En cas de crise, il est clair que la politique budgétaire fonctionne plus efficacement que la politique monétaire. Personne ne pense que les pays ne devraient pas du</w:t>
      </w:r>
      <w:r>
        <w:t xml:space="preserve"> tout recourir à la politique monétaire. Les banques centrales sont intervenues pour offrir des lignes de crédit aux PME par exemple. La politique budgétaire et monétaire est nécessaire, mais il est clair que la politique budgétaire est plus efficace.</w:t>
      </w:r>
    </w:p>
    <w:p w14:paraId="2A813296" w14:textId="77777777" w:rsidR="00CC1153" w:rsidRDefault="00CC1153"/>
    <w:p w14:paraId="397E715F" w14:textId="77777777" w:rsidR="00CC1153" w:rsidRDefault="00861693">
      <w:r>
        <w:lastRenderedPageBreak/>
        <w:t>Il est également important de se rappeler que même en Europe, seuls quelques pays sont capables de mettre en œuvre un assouplissement quantitatif à grande échelle. Les conditions initiales sont cruciales pour le succès de l'assouplissement quantitatif.</w:t>
      </w:r>
    </w:p>
    <w:p w14:paraId="42D00AED" w14:textId="77777777" w:rsidR="00CC1153" w:rsidRDefault="00CC1153"/>
    <w:p w14:paraId="423FEF87" w14:textId="77777777" w:rsidR="00CC1153" w:rsidRDefault="00861693">
      <w:r>
        <w:t>Le</w:t>
      </w:r>
      <w:r>
        <w:t>s points d’ACET sont également très importants en termes de réflexion sur la manière d'aller de l'avant. Ce sont des points difficiles qui nécessitent un capital politique. Ce sont les types de choses où une crise peut créer une fenêtre d'opportunité. C'es</w:t>
      </w:r>
      <w:r>
        <w:t xml:space="preserve">t le moment où tous les politiciens se penchent sur l'économie. Les conseillers techniques peuvent profiter de cette fenêtre d'opportunité. </w:t>
      </w:r>
    </w:p>
    <w:p w14:paraId="29D4E82F" w14:textId="77777777" w:rsidR="00CC1153" w:rsidRDefault="00CC1153"/>
    <w:p w14:paraId="67DC1A41" w14:textId="77777777" w:rsidR="00CC1153" w:rsidRDefault="00861693">
      <w:r>
        <w:t>Les gens peuvent se demander: où sont les institutions internationales? Les institutions internationales aiment tr</w:t>
      </w:r>
      <w:r>
        <w:t xml:space="preserve">availler avec les gagnants. Le moment est venu de faire pression pour ces réformes, puis des flux supplémentaires des IFI et des donateurs suivront. C'est politiquement difficile, mais il ne faut pas sous-estimer la fenêtre d'opportunité. </w:t>
      </w:r>
    </w:p>
    <w:p w14:paraId="01E81EE3" w14:textId="77777777" w:rsidR="00CC1153" w:rsidRDefault="00CC1153"/>
    <w:p w14:paraId="40F593D3" w14:textId="77777777" w:rsidR="00CC1153" w:rsidRDefault="00CC1153"/>
    <w:p w14:paraId="2834E9B0" w14:textId="77777777" w:rsidR="00CC1153" w:rsidRDefault="00CC1153"/>
    <w:sectPr w:rsidR="00CC115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0E4E" w14:textId="77777777" w:rsidR="008C3FE8" w:rsidRDefault="008C3FE8" w:rsidP="008C3FE8">
      <w:pPr>
        <w:spacing w:line="240" w:lineRule="auto"/>
      </w:pPr>
      <w:r>
        <w:separator/>
      </w:r>
    </w:p>
  </w:endnote>
  <w:endnote w:type="continuationSeparator" w:id="0">
    <w:p w14:paraId="79ABD543" w14:textId="77777777" w:rsidR="008C3FE8" w:rsidRDefault="008C3FE8" w:rsidP="008C3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18CD5" w14:textId="77777777" w:rsidR="008C3FE8" w:rsidRDefault="008C3FE8" w:rsidP="008C3FE8">
      <w:pPr>
        <w:spacing w:line="240" w:lineRule="auto"/>
      </w:pPr>
      <w:r>
        <w:separator/>
      </w:r>
    </w:p>
  </w:footnote>
  <w:footnote w:type="continuationSeparator" w:id="0">
    <w:p w14:paraId="3DD21690" w14:textId="77777777" w:rsidR="008C3FE8" w:rsidRDefault="008C3FE8" w:rsidP="008C3F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70048"/>
    <w:multiLevelType w:val="multilevel"/>
    <w:tmpl w:val="0DD86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EF512E"/>
    <w:multiLevelType w:val="multilevel"/>
    <w:tmpl w:val="47141EC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53"/>
    <w:rsid w:val="00861693"/>
    <w:rsid w:val="008C3FE8"/>
    <w:rsid w:val="00CC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6F81"/>
  <w15:docId w15:val="{1EF68EDF-0005-4489-814D-1014CF75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ldbank.org/en/news/press-release/2020/07/27/african-continental-free-trade-ar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18A0CB11F7F49B2E36BFDADCE42F1" ma:contentTypeVersion="12" ma:contentTypeDescription="Create a new document." ma:contentTypeScope="" ma:versionID="71679921d53830ca54f40243c901f813">
  <xsd:schema xmlns:xsd="http://www.w3.org/2001/XMLSchema" xmlns:xs="http://www.w3.org/2001/XMLSchema" xmlns:p="http://schemas.microsoft.com/office/2006/metadata/properties" xmlns:ns2="70289264-d672-4ba7-bd75-745d76563ccf" xmlns:ns3="c8ba2a77-7f36-4b64-9b2e-a2b117ee4c7f" targetNamespace="http://schemas.microsoft.com/office/2006/metadata/properties" ma:root="true" ma:fieldsID="3ff0caf4d22863d263892fd0b54ddca7" ns2:_="" ns3:_="">
    <xsd:import namespace="70289264-d672-4ba7-bd75-745d76563ccf"/>
    <xsd:import namespace="c8ba2a77-7f36-4b64-9b2e-a2b117ee4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89264-d672-4ba7-bd75-745d76563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a2a77-7f36-4b64-9b2e-a2b117ee4c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2621D-C8C4-4FDE-9122-796E0145C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89264-d672-4ba7-bd75-745d76563ccf"/>
    <ds:schemaRef ds:uri="c8ba2a77-7f36-4b64-9b2e-a2b117ee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DAE58-F560-46A1-BDEB-0E321B284671}">
  <ds:schemaRefs>
    <ds:schemaRef ds:uri="http://schemas.microsoft.com/sharepoint/v3/contenttype/forms"/>
  </ds:schemaRefs>
</ds:datastoreItem>
</file>

<file path=customXml/itemProps3.xml><?xml version="1.0" encoding="utf-8"?>
<ds:datastoreItem xmlns:ds="http://schemas.openxmlformats.org/officeDocument/2006/customXml" ds:itemID="{E75DF0EC-7DDF-4311-BB37-41D27BAA946D}">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c8ba2a77-7f36-4b64-9b2e-a2b117ee4c7f"/>
    <ds:schemaRef ds:uri="70289264-d672-4ba7-bd75-745d76563c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Katharina Niemeyer</dc:creator>
  <cp:lastModifiedBy>Hannah Katharina Niemeyer</cp:lastModifiedBy>
  <cp:revision>2</cp:revision>
  <dcterms:created xsi:type="dcterms:W3CDTF">2020-07-29T15:39:00Z</dcterms:created>
  <dcterms:modified xsi:type="dcterms:W3CDTF">2020-07-29T15:39:00Z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0x0101005D218A0CB11F7F49B2E36BFDADCE42F1</vt:lpwstr>
  </property>
</Properties>
</file>